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00"/>
        <w:jc w:val="center"/>
      </w:pPr>
      <w:r>
        <w:rPr>
          <w:rFonts w:ascii="Calibri" w:hAnsi="Calibri"/>
          <w:b/>
          <w:i w:val="0"/>
          <w:color w:val="7A5A00"/>
          <w:sz w:val="20"/>
        </w:rPr>
        <w:t>ERASMUS+  |  DISSZEMINÁCIÓ</w:t>
      </w:r>
    </w:p>
    <w:p>
      <w:pPr>
        <w:keepNext/>
        <w:spacing w:before="0" w:after="160"/>
        <w:jc w:val="center"/>
      </w:pPr>
      <w:r>
        <w:rPr>
          <w:rFonts w:ascii="Calibri" w:hAnsi="Calibri"/>
          <w:b/>
          <w:i w:val="0"/>
          <w:color w:val="0B2545"/>
          <w:sz w:val="54"/>
        </w:rPr>
        <w:t>Görögországi szakmai mobilitás</w:t>
        <w:br/>
        <w:t>– digitális és soft skillek a gyakorlatban</w:t>
      </w:r>
    </w:p>
    <w:p>
      <w:pPr>
        <w:spacing w:before="0" w:after="200"/>
        <w:jc w:val="center"/>
      </w:pPr>
      <w:r>
        <w:rPr>
          <w:rFonts w:ascii="Calibri" w:hAnsi="Calibri"/>
          <w:b w:val="0"/>
          <w:i/>
          <w:color w:val="1F4D78"/>
          <w:sz w:val="27"/>
        </w:rPr>
        <w:t>A pénzügyi-számviteli és logisztikai tanulói csoport, valamint a kísérő oktatók szakmai tapasztalatai</w:t>
      </w:r>
    </w:p>
    <w:p>
      <w:pPr>
        <w:spacing w:before="0" w:after="280"/>
        <w:jc w:val="center"/>
      </w:pPr>
      <w:r>
        <w:rPr>
          <w:rFonts w:ascii="Calibri" w:hAnsi="Calibri"/>
          <w:b/>
          <w:i w:val="0"/>
          <w:color w:val="6B7280"/>
          <w:sz w:val="20"/>
        </w:rPr>
        <w:t>Soproni SZC Fáy András Két Tanítási Nyelvű Közgazdasági Technikum  |  2026. május 13–26.</w:t>
      </w:r>
    </w:p>
    <w:p>
      <w:pPr>
        <w:spacing w:before="120" w:after="280" w:line="300" w:lineRule="auto"/>
        <w:ind w:left="230" w:right="173"/>
        <w:shd w:fill="EEF4FB"/>
        <w:pBdr>
          <w:left w:val="single" w:sz="22" w:space="8" w:color="003399"/>
        </w:pBdr>
      </w:pPr>
      <w:r>
        <w:rPr>
          <w:rFonts w:ascii="Calibri" w:hAnsi="Calibri"/>
          <w:b/>
          <w:i w:val="0"/>
          <w:color w:val="0B2545"/>
          <w:sz w:val="23"/>
        </w:rPr>
        <w:t>Harminc tanuló és három kísérő oktató vett részt az Olympus Education Center görögországi programján. A mobilitás a szakmai tudás, a digitális eszközhasználat, az angol kommunikáció, az önállóság és az együttműködés együttes fejlesztésére épült.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8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4"/>
              </w:rPr>
              <w:t>30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8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4"/>
              </w:rPr>
              <w:t>3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8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4"/>
              </w:rPr>
              <w:t>9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8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4"/>
              </w:rPr>
              <w:t>100%</w:t>
            </w:r>
          </w:p>
        </w:tc>
      </w:tr>
      <w:t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80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tanuló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80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kísérő oktató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80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kevesebb lehetőséggel rendelkező résztvevő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80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résztvevői kérdőív</w:t>
            </w:r>
          </w:p>
        </w:tc>
      </w:tr>
    </w:tbl>
    <w:p>
      <w:pPr>
        <w:spacing w:after="80"/>
      </w:pPr>
    </w:p>
    <w:p>
      <w:pPr>
        <w:pStyle w:val="Heading1"/>
        <w:keepNext/>
        <w:keepLines/>
      </w:pPr>
      <w:r>
        <w:t>A projekt legfontosabb adatai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8DEE8"/>
          <w:left w:val="single" w:sz="4" w:space="0" w:color="D8DEE8"/>
          <w:bottom w:val="single" w:sz="4" w:space="0" w:color="D8DEE8"/>
          <w:right w:val="single" w:sz="4" w:space="0" w:color="D8DEE8"/>
          <w:insideH w:val="single" w:sz="4" w:space="0" w:color="D8DEE8"/>
          <w:insideV w:val="single" w:sz="4" w:space="0" w:color="D8DEE8"/>
        </w:tblBorders>
      </w:tblPr>
      <w:tblGrid>
        <w:gridCol w:w="2500"/>
        <w:gridCol w:w="6860"/>
      </w:tblGrid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Projektazonosító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2025-1-HU01-KA122-VET-000330089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Projekt címe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Globális szakmai fejlődés: Digitális és soft skillek erősítése a pénzügy-számvitelben és logisztikában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Mobilitási időszak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2026. május 13–26.; 12 tevékenységi/programnap és 2 utazási nap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Fogadó partner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Olympus Education Center, Görögország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Résztvevők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20 pénzügyi-számviteli és 10 logisztikai tanuló; 3 kísérő oktató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Megítélt támogatás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66 705 euró</w:t>
            </w:r>
          </w:p>
        </w:tc>
      </w:tr>
    </w:tbl>
    <w:p>
      <w:pPr>
        <w:pStyle w:val="Heading1"/>
        <w:keepNext/>
        <w:keepLines/>
      </w:pPr>
      <w:r>
        <w:t>Közös cél: szakmai tudás nemzetközi környezetben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mobilitás arra adott lehetőséget, hogy tanulóink az iskolában megszerzett elméleti ismereteket gyakorlati, idegen nyelvű feladatokban alkalmazzák. A szakmai program két, egymásra épülő munkaterv szerint zajlott: külön feladatokat kapott a pénzügyi-számviteli és a logisztikai csoport, miközben a csapatmunka, a problémamegoldás, a döntések indoklása és a prezentáció mindkét területen közös fejlesztési cél volt. A tervezett 9 kevesebb lehetőséggel rendelkező tanuló is teljes körűen részt vett a programban; a támogatás célja nem az elkülönítés, hanem az azonos minőségű részvétel biztosítása volt.</w:t>
      </w:r>
    </w:p>
    <w:p>
      <w:pPr>
        <w:pStyle w:val="Heading1"/>
        <w:keepNext/>
        <w:keepLines/>
      </w:pPr>
      <w:r>
        <w:t>Pénzügyi-számviteli csoport</w:t>
      </w:r>
    </w:p>
    <w:p>
      <w:pPr>
        <w:pStyle w:val="Heading2"/>
        <w:keepNext/>
        <w:keepLines/>
      </w:pPr>
      <w:r>
        <w:t>Digitális pénzügyi folyamatok és tudatos adatkezelés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húszfős pénzügyi-számviteli csoport ERP-rendszerek alapfunkcióival, pénzügyi adatrögzítéssel és riportkészítéssel, CRM-folyamatokkal, e-számlázással, pénzügyi analitikával, adatvédelemmel és kiberbiztonsággal foglalkozott. A tanulók nem csupán egy-egy program használatát gyakorolták: meg kellett érteniük az adatok közötti kapcsolatokat, észre kellett venniük az eltéréseket, ellenőrizniük kellett a rögzített információkat, majd röviden meg is kellett indokolniuk a döntéseiket.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munkakör-követés során összevetették az iskolában tanult lépéseket a fogadó környezetben bemutatott pénzügyi folyamatokkal. A program végén csoportos pénzügyi projektet készítettek, amelyben költségvetési, adminisztrációs és elemzési feladatokat kapcsoltak össze. A közös prezentáció azt is megmutatta, hogy a szakmai pontosság mellett fejlődött a feladatmegosztásuk, az időgazdálkodásuk, az angol segítségkérésük és az érvekkel alátámasztott kommunikációjuk.</w:t>
      </w:r>
    </w:p>
    <w:p>
      <w:pPr>
        <w:pStyle w:val="Heading1"/>
        <w:keepNext/>
        <w:keepLines/>
      </w:pPr>
      <w:r>
        <w:t>Logisztikai csoport</w:t>
      </w:r>
    </w:p>
    <w:p>
      <w:pPr>
        <w:pStyle w:val="Heading2"/>
        <w:keepNext/>
        <w:keepLines/>
      </w:pPr>
      <w:r>
        <w:t>Készlet, útvonal, ellátási lánc és fenntarthatóság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tízfős logisztikai csoport digitális készletnyilvántartással, készletmozgások rögzítésével, útvonaltervezéssel, fenntartható szállítási döntésekkel, ellátásilánc-elemzéssel, adatbiztonsággal és folyamatoptimalizálással dolgozott. A tanulóknak több lehetséges megoldást kellett összehasonlítaniuk költség, idő, kihasználtság, szállítási határidő és környezeti hatás alapján.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feladatok során megtapasztalták, hogy egy jó logisztikai döntéshez nem elegendő egyetlen adatot figyelembe venni. Ellenőrizniük kellett a forrásadatokat, egyeztetniük kellett egymással, és közösen kellett vállalniuk a választott megoldás következményeit. A komplex záróprojektben készletnyilvántartást, útvonaltervet, fenntarthatósági döntést, ellátásilánc-elemzést és folyamatjavító javaslatot foglaltak egységes prezentációba.</w:t>
      </w:r>
    </w:p>
    <w:p>
      <w:pPr>
        <w:pStyle w:val="Heading1"/>
        <w:keepNext/>
        <w:keepLines/>
      </w:pPr>
      <w:r>
        <w:t>A szakmai feladatokon túl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soft skillek fejlesztése nem különálló előadásként, hanem a mindennapi munkavégzés részeként jelent meg. A tanulók kis csoportokban osztották fel a szerepeket, angolul kértek segítséget vagy pontosítást, egymás eredményeit ellenőrizték, eltérő javaslatok között döntöttek, és közösen mutatták be a megoldásukat. A kezdeti bizonytalanság fokozatosan oldódott: a két hét végére többen vállaltak önállóbb adatértelmezési, koordinációs vagy prezentációs szerepet.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Az interkulturális tanulást a görögországi mindennapok és a közös kulturális programok is támogatták. A Meteorák sziklakolostorainál tett kirándulás, valamint a Zeusz kádjánál töltött szabadprogram nemcsak közösségi élményt jelentett, hanem segítette a kulturális nyitottságot, az önálló tájékozódást és az egymás iránti felelősséget is. A csoport közös autóbuszos utazása a projekt környezettudatos szemléletéhez is illeszkedett.</w:t>
      </w:r>
    </w:p>
    <w:p>
      <w:pPr>
        <w:pStyle w:val="Heading1"/>
        <w:keepNext/>
        <w:keepLines/>
      </w:pPr>
      <w:r>
        <w:t>Mentorálás és nyomon követés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tanulási folyamat követése minden szakmai napon azonos, kiszámítható rendben zajlott. A fogadó mentor reggel ismertette a napi feladatot és a várt eredményt, szükség esetén bemutatót tartott, munka közben megfigyelte a teljesítést, a nap végén pedig rövid szakmai visszajelzést adott. A három kísérő oktató megosztva követte a két szakmai csoportot: ellenőrizték a jelenlétet, a napi feladatok és munkanaplók elkészítését, a biztonságot, a közérzetet és a csoportműködést. Minden nap közös reflexiót tartottak a tanulókkal, és egyeztettek a fogadó mentorral.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támogatás differenciált volt. A bizonytalanabb angolosok mondatmintát, vizuális feladatleírást, magyar nyelvű szakmai tisztázást és társsegítő támogatást kaptak; a magabiztosabb tanulók önállóbb elemző vagy prezentációs feladatot vállaltak. A projekt közepén egyéni előrehaladási beszélgetés, a végén pedig zárófeladat-értékelés és személyes reflexió segítette, hogy mindenki felismerje saját fejlődését és következő célját.</w:t>
      </w:r>
    </w:p>
    <w:p>
      <w:pPr>
        <w:pStyle w:val="Heading1"/>
        <w:keepNext/>
        <w:keepLines/>
      </w:pPr>
      <w:r>
        <w:t>A kísérő oktatók szakmai tapasztalatai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három oktató adminisztratív értelemben kísérő személyi feladatot látott el, részvételük azonban számukra is jelentős szakmai tanulást eredményezett. Közvetlenül figyelhették meg a fogadó mentor feladatadását, a hibajavítást támogató kérdezéstechnikát, az eltérő nyelvi és szakmai szinthez igazított segítségadást, valamint a több forrásból történő értékelést.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tapasztalatok megerősítették, hogy a mobilitás minőségét nem önmagában a jól megszervezett utazás, hanem a követhető tanulási ív adja. A reggeli célkitűzés, a munkaközi megfigyelés, a nap végi visszajelzés, a munkanapló, a köztes beszélgetés és a záróprojekt együtt tette láthatóvá a fejlődést. Az oktatók a hazatérés után ezeket a módszertani tapasztalatokat a szakmai órákon, a projektalapú feladatokban és a következő mobilitások felkészítésében is hasznosítják.</w:t>
      </w:r>
    </w:p>
    <w:p>
      <w:pPr>
        <w:pStyle w:val="Heading1"/>
        <w:keepNext/>
        <w:keepLines/>
      </w:pPr>
      <w:r>
        <w:t>Mérhető eredmények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résztvevői kérdőívek visszaérkezése 100%-os volt. A válaszok egyértelműen visszaigazolták, hogy a program szakmailag releváns, gyakorlatorientált és a tanulók személyes fejlődését is támogató mobilitásként valósult meg.</w:t>
      </w:r>
    </w:p>
    <w:p>
      <w:pPr>
        <w:spacing w:before="80" w:after="80"/>
      </w:pPr>
      <w:r>
        <w:rPr>
          <w:rFonts w:ascii="Calibri" w:hAnsi="Calibri"/>
          <w:b/>
          <w:i w:val="0"/>
          <w:color w:val="6B7280"/>
          <w:sz w:val="20"/>
        </w:rPr>
        <w:t>A résztvevői kérdőív legfontosabb eredményei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8DEE8"/>
          <w:left w:val="single" w:sz="4" w:space="0" w:color="D8DEE8"/>
          <w:bottom w:val="single" w:sz="4" w:space="0" w:color="D8DEE8"/>
          <w:right w:val="single" w:sz="4" w:space="0" w:color="D8DEE8"/>
          <w:insideH w:val="single" w:sz="4" w:space="0" w:color="D8DEE8"/>
          <w:insideV w:val="single" w:sz="4" w:space="0" w:color="D8DEE8"/>
        </w:tblBorders>
      </w:tblPr>
      <w:tblGrid>
        <w:gridCol w:w="7600"/>
        <w:gridCol w:w="1760"/>
      </w:tblGrid>
      <w:tr>
        <w:trPr>
          <w:tblHeader w:val="true"/>
        </w:trP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20" w:after="20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Mutató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03399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Eredmény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A fogadóhely képzését szakmailag relevánsnak tartotta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30/30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Hasznos gyakorlati készséget szerzett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30/30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Úgy ítélte meg, hogy a mobilitás a javára vált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30/30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Magabiztosabbnak, önállóbbnak vagy felelősségteljesebbnek érzi magát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29/30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Nyelvi készségei fejlődését jelezte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26/30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Úgy látja, javultak a későbbi munkavállalási esélyei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25/30</w:t>
            </w:r>
          </w:p>
        </w:tc>
      </w:tr>
      <w:tr>
        <w:tc>
          <w:tcPr>
            <w:tcW w:type="dxa" w:w="7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 w:line="276" w:lineRule="auto"/>
            </w:pPr>
            <w:r>
              <w:rPr>
                <w:rFonts w:ascii="Calibri" w:hAnsi="Calibri"/>
                <w:b w:val="0"/>
                <w:i w:val="0"/>
                <w:color w:val="1F2933"/>
                <w:sz w:val="19"/>
              </w:rPr>
              <w:t>Europass mobilitási igazolványt kapott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003399"/>
                <w:sz w:val="20"/>
              </w:rPr>
              <w:t>30/30</w:t>
            </w: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t>Intézményi hasznosítás és továbbélő eredmények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mobilitás eredményei nem maradnak a harminc résztvevő személyes tapasztalatai. A pénzügyi-számviteli és logisztikai munkatervből két újrahasználható, projektalapú tanulási modul és kapcsolódó értékelési minta készült. A tanulók saját projektjeiken és konkrét feladatpéldáikon keresztül mutatják be tapasztalataikat társaiknak, a szakmai oktatók pedig a feladatokat a kapcsolódó tanórákon és a következő mobilitások felkészítésében is alkalmazzák.</w:t>
      </w:r>
    </w:p>
    <w:p>
      <w:pPr>
        <w:spacing w:before="0" w:after="160" w:line="320" w:lineRule="auto"/>
        <w:jc w:val="both"/>
      </w:pPr>
      <w:r>
        <w:rPr>
          <w:rFonts w:ascii="Calibri" w:hAnsi="Calibri"/>
          <w:b w:val="0"/>
          <w:i w:val="0"/>
          <w:color w:val="1F2933"/>
          <w:sz w:val="22"/>
        </w:rPr>
        <w:t>A projekt hosszabb távú értékét az adja, hogy egyszerre erősítette a tanulók szakmai tudását, digitális biztonságtudatosságát, nyelvi bátorságát, önállóságát és együttműködését, miközben az intézmény számára átvehető oktatási és mentorálási gyakorlatokat hozott létre. A görögországi mobilitás így nem lezárt kéthetes esemény, hanem a Fáy szakmai oktatásának és nemzetközi együttműködésének továbbépíthető eleme.</w:t>
      </w:r>
    </w:p>
    <w:p>
      <w:pPr>
        <w:spacing w:before="160" w:after="240" w:line="276" w:lineRule="auto"/>
      </w:pPr>
      <w:r>
        <w:rPr>
          <w:rFonts w:ascii="Calibri" w:hAnsi="Calibri"/>
          <w:b w:val="0"/>
          <w:i/>
          <w:color w:val="6B7280"/>
          <w:sz w:val="19"/>
        </w:rPr>
        <w:t>A beszámoló a résztvevői kérdőívek, a tanulói munkanaplók, a kísérő oktatók beszámolói és a projekt szakmai dokumentációja alapján készült.</w:t>
      </w:r>
    </w:p>
    <w:p>
      <w:pPr>
        <w:spacing w:before="80" w:after="120" w:line="276" w:lineRule="auto"/>
        <w:ind w:left="173" w:right="173"/>
        <w:shd w:fill="FFF8D9"/>
      </w:pPr>
      <w:r>
        <w:rPr>
          <w:rFonts w:ascii="Calibri" w:hAnsi="Calibri"/>
          <w:b/>
          <w:i w:val="0"/>
          <w:color w:val="0B2545"/>
          <w:sz w:val="20"/>
        </w:rPr>
        <w:t xml:space="preserve">Az Európai Unió finanszírozásával. </w:t>
      </w:r>
      <w:r>
        <w:rPr>
          <w:rFonts w:ascii="Calibri" w:hAnsi="Calibri"/>
          <w:b w:val="0"/>
          <w:i w:val="0"/>
          <w:color w:val="0B2545"/>
          <w:sz w:val="17"/>
        </w:rPr>
        <w:t>A kifejtett nézetek és vélemények kizárólag a szerző(k) nézeteit tükrözik, és nem feltétlenül tükrözik az Európai Unió vagy az Európai Oktatási és Kulturális Végrehajtó Ügynökség (EACEA) álláspontját. Sem az Európai Unió, sem az EACEA nem tehető felelőssé értük.</w:t>
      </w: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b w:val="0"/>
        <w:i w:val="0"/>
        <w:color w:val="6B7280"/>
        <w:sz w:val="17"/>
      </w:rPr>
      <w:t xml:space="preserve">2025-1-HU01-KA122-VET-000330089   •   </w:t>
    </w:r>
    <w:r>
      <w:rPr>
        <w:rFonts w:ascii="Calibri" w:hAnsi="Calibri"/>
        <w:b w:val="0"/>
        <w:i w:val="0"/>
        <w:color w:val="6B728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b w:val="0"/>
        <w:i w:val="0"/>
        <w:color w:val="6B7280"/>
        <w:sz w:val="17"/>
      </w:rPr>
      <w:t xml:space="preserve">2025-1-HU01-KA122-VET-000330089   •   </w:t>
    </w:r>
    <w:r>
      <w:rPr>
        <w:rFonts w:ascii="Calibri" w:hAnsi="Calibri"/>
        <w:b w:val="0"/>
        <w:i w:val="0"/>
        <w:color w:val="6B728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>
      <w:rPr>
        <w:rFonts w:ascii="Calibri" w:hAnsi="Calibri"/>
        <w:b/>
        <w:i w:val="0"/>
        <w:color w:val="6B7280"/>
        <w:sz w:val="17"/>
      </w:rPr>
      <w:t>ERASMUS+ KA122-VET  |  ÖSSZEFOGLALÓ BESZÁMOLÓ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>
      <w:rPr>
        <w:rFonts w:ascii="Calibri" w:hAnsi="Calibri"/>
        <w:b/>
        <w:i w:val="0"/>
        <w:color w:val="6B7280"/>
        <w:sz w:val="17"/>
      </w:rPr>
      <w:t>ERASMUS+ KA122-VET  |  ÖSSZEFOGLALÓ BESZÁMOLÓ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both"/>
    </w:pPr>
    <w:rPr>
      <w:rFonts w:ascii="Calibri" w:hAnsi="Calibri"/>
      <w:color w:val="1F29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Görögországi szakmai mobilitás – összefoglaló beszámoló</dc:title>
  <dc:subject>Erasmus+ KA122-VET disszemináció</dc:subject>
  <dc:creator>Soproni SZC Fáy András Két Tanítási Nyelvű Közgazdasági Technikum</dc:creator>
  <cp:keywords>Erasmus+, KA122-VET, pénzügy-számvitel, logisztika, mobilitás, disszemináció</cp:keywords>
  <dc:description>Weboldalra szánt, közérthető összefoglaló beszámoló.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