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FB8F" w14:textId="77777777" w:rsidR="000462DF" w:rsidRDefault="00000000">
      <w:pPr>
        <w:shd w:val="clear" w:color="auto" w:fill="FFFFFF"/>
        <w:spacing w:after="0" w:line="240" w:lineRule="auto"/>
        <w:jc w:val="center"/>
      </w:pPr>
      <w:r>
        <w:rPr>
          <w:rFonts w:ascii="Arial" w:eastAsia="Arial" w:hAnsi="Arial" w:cs="Arial"/>
          <w:sz w:val="31"/>
          <w:szCs w:val="31"/>
        </w:rPr>
        <w:t>Javítóvizsga témakörei matematikából</w:t>
      </w:r>
      <w:r>
        <w:rPr>
          <w:rFonts w:ascii="Arial" w:eastAsia="Arial" w:hAnsi="Arial" w:cs="Arial"/>
          <w:sz w:val="31"/>
          <w:szCs w:val="31"/>
        </w:rPr>
        <w:br/>
      </w:r>
      <w:r>
        <w:rPr>
          <w:rFonts w:ascii="Arial" w:eastAsia="Arial" w:hAnsi="Arial" w:cs="Arial"/>
          <w:i/>
          <w:iCs/>
          <w:sz w:val="24"/>
          <w:szCs w:val="24"/>
        </w:rPr>
        <w:t>2024-25-ös tanév</w:t>
      </w:r>
    </w:p>
    <w:p w14:paraId="5B7C652E" w14:textId="77777777" w:rsidR="000462DF" w:rsidRDefault="00000000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>Tóth Lajos</w:t>
      </w:r>
      <w:r>
        <w:rPr>
          <w:rFonts w:ascii="Arial" w:eastAsia="Arial" w:hAnsi="Arial" w:cs="Arial"/>
          <w:b/>
          <w:sz w:val="24"/>
          <w:szCs w:val="24"/>
        </w:rPr>
        <w:br/>
      </w:r>
    </w:p>
    <w:p w14:paraId="4E427372" w14:textId="77777777" w:rsidR="000462DF" w:rsidRDefault="00000000">
      <w:pPr>
        <w:shd w:val="clear" w:color="auto" w:fill="FFFFFF"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9. K osztály </w:t>
      </w:r>
    </w:p>
    <w:p w14:paraId="6653BF2B" w14:textId="77777777" w:rsidR="000462DF" w:rsidRDefault="000462DF">
      <w:pPr>
        <w:shd w:val="clear" w:color="auto" w:fill="FFFFFF"/>
        <w:spacing w:after="0" w:line="240" w:lineRule="auto"/>
        <w:rPr>
          <w:rFonts w:ascii="Arial" w:eastAsia="Arial" w:hAnsi="Arial" w:cs="Arial"/>
          <w:sz w:val="31"/>
          <w:szCs w:val="31"/>
        </w:rPr>
      </w:pPr>
    </w:p>
    <w:p w14:paraId="35D9BDE5" w14:textId="77777777" w:rsidR="000462DF" w:rsidRDefault="00000000">
      <w:pPr>
        <w:pStyle w:val="Cmsor1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t xml:space="preserve">Kombinatorika és halmazok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Ajánlott feladatok: TK. I.kötet 40.-45.o.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7D56DBE5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>Összeszámlálási feladatok.</w:t>
      </w:r>
    </w:p>
    <w:p w14:paraId="083EDB01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>Gráfok.</w:t>
      </w:r>
    </w:p>
    <w:p w14:paraId="6E645DBF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>Halmazok – alapfogalmak, halmazműveletek, szitaformula.</w:t>
      </w:r>
    </w:p>
    <w:p w14:paraId="1B6D64EC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>Számegyenes, intervallumok, műveletek intervallumokkal.</w:t>
      </w:r>
    </w:p>
    <w:p w14:paraId="4EC56103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>Számok abszolútértéke.</w:t>
      </w:r>
    </w:p>
    <w:p w14:paraId="0527A189" w14:textId="77777777" w:rsidR="000462DF" w:rsidRDefault="00000000">
      <w:pPr>
        <w:pStyle w:val="Cmsor1"/>
      </w:pPr>
      <w:r>
        <w:t xml:space="preserve">Műveletek számhalmazokban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Ajánlott feladatok: TK. I.kötet 86.-89.o.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5C6CB865" w14:textId="77777777" w:rsidR="000462DF" w:rsidRDefault="00000000">
      <w:pPr>
        <w:numPr>
          <w:ilvl w:val="0"/>
          <w:numId w:val="3"/>
        </w:numPr>
        <w:spacing w:after="0"/>
      </w:pPr>
      <w:r>
        <w:rPr>
          <w:color w:val="000000"/>
        </w:rPr>
        <w:t>Alapműveletek és tulajdonságaik. Műveletek sorrendje, zárójelek használata.</w:t>
      </w:r>
    </w:p>
    <w:p w14:paraId="51EADA4D" w14:textId="77777777" w:rsidR="000462DF" w:rsidRDefault="00000000">
      <w:pPr>
        <w:numPr>
          <w:ilvl w:val="0"/>
          <w:numId w:val="3"/>
        </w:numPr>
        <w:spacing w:after="0"/>
      </w:pPr>
      <w:r>
        <w:rPr>
          <w:color w:val="000000"/>
        </w:rPr>
        <w:t>Műveletek egész számokkal és törtekkel.</w:t>
      </w:r>
    </w:p>
    <w:p w14:paraId="39C58D1F" w14:textId="77777777" w:rsidR="000462DF" w:rsidRDefault="00000000">
      <w:pPr>
        <w:numPr>
          <w:ilvl w:val="0"/>
          <w:numId w:val="3"/>
        </w:numPr>
        <w:spacing w:after="0"/>
      </w:pPr>
      <w:r>
        <w:rPr>
          <w:color w:val="000000"/>
        </w:rPr>
        <w:t>Egyenes és fordított arányosság.</w:t>
      </w:r>
    </w:p>
    <w:p w14:paraId="6AC3AD3C" w14:textId="77777777" w:rsidR="000462DF" w:rsidRDefault="00000000">
      <w:pPr>
        <w:numPr>
          <w:ilvl w:val="0"/>
          <w:numId w:val="3"/>
        </w:numPr>
        <w:spacing w:after="0"/>
      </w:pPr>
      <w:r>
        <w:rPr>
          <w:color w:val="000000"/>
        </w:rPr>
        <w:t>Arányos osztás.</w:t>
      </w:r>
    </w:p>
    <w:p w14:paraId="6FD9C1DE" w14:textId="77777777" w:rsidR="000462DF" w:rsidRDefault="00000000">
      <w:pPr>
        <w:numPr>
          <w:ilvl w:val="0"/>
          <w:numId w:val="3"/>
        </w:numPr>
        <w:spacing w:after="0"/>
      </w:pPr>
      <w:r>
        <w:rPr>
          <w:color w:val="000000"/>
        </w:rPr>
        <w:t>Százalékszámítás, kamatos kamat.</w:t>
      </w:r>
    </w:p>
    <w:p w14:paraId="0FEF5125" w14:textId="77777777" w:rsidR="000462DF" w:rsidRDefault="00000000">
      <w:pPr>
        <w:numPr>
          <w:ilvl w:val="0"/>
          <w:numId w:val="3"/>
        </w:numPr>
        <w:spacing w:after="0"/>
      </w:pPr>
      <w:r>
        <w:rPr>
          <w:color w:val="000000"/>
        </w:rPr>
        <w:t>Hatványozás pozitív egész és nulla kitevőkkel, hatványozás azonosságainak alkalmazása.</w:t>
      </w:r>
    </w:p>
    <w:p w14:paraId="6B08B6B4" w14:textId="77777777" w:rsidR="000462DF" w:rsidRDefault="00000000">
      <w:pPr>
        <w:numPr>
          <w:ilvl w:val="0"/>
          <w:numId w:val="3"/>
        </w:numPr>
        <w:spacing w:after="0"/>
      </w:pPr>
      <w:r>
        <w:rPr>
          <w:color w:val="000000"/>
        </w:rPr>
        <w:t>Számok négyzetgyöke.</w:t>
      </w:r>
    </w:p>
    <w:p w14:paraId="4856156B" w14:textId="77777777" w:rsidR="000462DF" w:rsidRDefault="00000000">
      <w:pPr>
        <w:numPr>
          <w:ilvl w:val="0"/>
          <w:numId w:val="3"/>
        </w:numPr>
      </w:pPr>
      <w:r>
        <w:rPr>
          <w:color w:val="000000"/>
        </w:rPr>
        <w:t>Számok normálalakja.</w:t>
      </w:r>
    </w:p>
    <w:p w14:paraId="298097CB" w14:textId="77777777" w:rsidR="000462DF" w:rsidRDefault="00000000">
      <w:pPr>
        <w:pStyle w:val="Cmsor1"/>
      </w:pPr>
      <w:r>
        <w:t xml:space="preserve">Algebra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Ajánlott feladatok: TK. I.kötet 116.-121.o.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454C0C21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>Betűkifejezések a matematikában: képlet, összefüggés, változó, helyettesítési érték.</w:t>
      </w:r>
    </w:p>
    <w:p w14:paraId="117A2F79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 xml:space="preserve">Polinomok fogalma. Műveletek polinomokkal, betűkifejezésekkel: összevonás, polinomok szorzása. </w:t>
      </w:r>
    </w:p>
    <w:p w14:paraId="177BF480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>Nevezetes szorzatok.</w:t>
      </w:r>
    </w:p>
    <w:p w14:paraId="095F872E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>Szorzattá alakítás kiemeléssel, csoportosítással és nevezetes szorzatok segítségével.</w:t>
      </w:r>
    </w:p>
    <w:p w14:paraId="30D1976D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 xml:space="preserve">Elsőfokú egyenletek megoldása. Zárójeles és </w:t>
      </w:r>
      <w:proofErr w:type="spellStart"/>
      <w:r>
        <w:rPr>
          <w:color w:val="000000"/>
        </w:rPr>
        <w:t>törtes</w:t>
      </w:r>
      <w:proofErr w:type="spellEnd"/>
      <w:r>
        <w:rPr>
          <w:color w:val="000000"/>
        </w:rPr>
        <w:t xml:space="preserve"> egyenletek megoldása.</w:t>
      </w:r>
    </w:p>
    <w:p w14:paraId="73AAEE69" w14:textId="77777777" w:rsidR="000462DF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color w:val="000000"/>
        </w:rPr>
        <w:t>Szöveges feladatok megoldása egyenletek segítségével.</w:t>
      </w:r>
    </w:p>
    <w:p w14:paraId="7F892CB9" w14:textId="77777777" w:rsidR="000462DF" w:rsidRDefault="00000000">
      <w:pPr>
        <w:pStyle w:val="Cmsor1"/>
      </w:pPr>
      <w:r>
        <w:t xml:space="preserve">Geometria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Ajánlott feladatok: TK.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II.kötet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50.-53.o.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4C85BBB4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A háromszögekről. Általános és szimmetrikus háromszögek.  Belső és külső szögek összege, háromszög-egyenlőtlenség.</w:t>
      </w:r>
    </w:p>
    <w:p w14:paraId="417EC407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Összefüggés a háromszög szögei és oldalai között.</w:t>
      </w:r>
    </w:p>
    <w:p w14:paraId="37332001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 xml:space="preserve">Összefüggés a derékszögű háromszög oldalai között.   A Pitagorasz-tétel és megfordítása. Feladatok </w:t>
      </w:r>
      <w:proofErr w:type="spellStart"/>
      <w:r>
        <w:rPr>
          <w:color w:val="000000"/>
        </w:rPr>
        <w:t>Pitagorasz</w:t>
      </w:r>
      <w:proofErr w:type="spellEnd"/>
      <w:r>
        <w:rPr>
          <w:color w:val="000000"/>
        </w:rPr>
        <w:t xml:space="preserve"> tételére.</w:t>
      </w:r>
    </w:p>
    <w:p w14:paraId="3F5F8993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A kör.</w:t>
      </w:r>
    </w:p>
    <w:p w14:paraId="4F2DA39E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A háromszög nevezetes vonalai és pontjai.</w:t>
      </w:r>
    </w:p>
    <w:p w14:paraId="24EACEB9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A háromszög beírt köre. A háromszög körülírt köre.</w:t>
      </w:r>
    </w:p>
    <w:p w14:paraId="5F095F61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Thalész tétele és alkalmazása.</w:t>
      </w:r>
    </w:p>
    <w:p w14:paraId="059CF3B8" w14:textId="77777777" w:rsidR="000462DF" w:rsidRDefault="00000000">
      <w:pPr>
        <w:numPr>
          <w:ilvl w:val="0"/>
          <w:numId w:val="2"/>
        </w:numPr>
        <w:spacing w:line="240" w:lineRule="auto"/>
      </w:pPr>
      <w:r>
        <w:rPr>
          <w:color w:val="000000"/>
        </w:rPr>
        <w:t>Háromszögek kerülete, területe.</w:t>
      </w:r>
    </w:p>
    <w:p w14:paraId="713E8766" w14:textId="77777777" w:rsidR="000462DF" w:rsidRDefault="00000000">
      <w:pPr>
        <w:pStyle w:val="Cmsor1"/>
      </w:pPr>
      <w:r>
        <w:lastRenderedPageBreak/>
        <w:br/>
      </w:r>
      <w:r>
        <w:br/>
      </w:r>
      <w:r>
        <w:br/>
        <w:t xml:space="preserve">Függvények </w:t>
      </w: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Ajánlott feladatok: TK.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II.kötet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i/>
          <w:color w:val="000000"/>
          <w:sz w:val="22"/>
          <w:szCs w:val="22"/>
        </w:rPr>
        <w:t>127.o.a</w:t>
      </w:r>
      <w:proofErr w:type="gram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6-os feladat kivételével; 129.o. 10., 130.o. 26., 27., 30.</w:t>
      </w:r>
      <w:proofErr w:type="gramStart"/>
      <w:r>
        <w:rPr>
          <w:rFonts w:ascii="Calibri" w:eastAsia="Calibri" w:hAnsi="Calibri" w:cs="Calibri"/>
          <w:i/>
          <w:color w:val="000000"/>
          <w:sz w:val="22"/>
          <w:szCs w:val="22"/>
        </w:rPr>
        <w:t>a,b</w:t>
      </w:r>
      <w:proofErr w:type="gramEnd"/>
      <w:r>
        <w:rPr>
          <w:rFonts w:ascii="Calibri" w:eastAsia="Calibri" w:hAnsi="Calibri" w:cs="Calibri"/>
          <w:i/>
          <w:color w:val="000000"/>
          <w:sz w:val="22"/>
          <w:szCs w:val="22"/>
        </w:rPr>
        <w:t>, 31.feladat</w:t>
      </w:r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06DD3EAE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Gyakorisági táblázat, relatív gyakoriság, átlagszámítás.</w:t>
      </w:r>
    </w:p>
    <w:p w14:paraId="70BA5EF7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Az egyenes arányosság és a fordított arányosság függvénye.</w:t>
      </w:r>
    </w:p>
    <w:p w14:paraId="38DA2E0E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Egyenes meredeksége.</w:t>
      </w:r>
    </w:p>
    <w:p w14:paraId="2525A089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Lineáris függvények.</w:t>
      </w:r>
    </w:p>
    <w:p w14:paraId="2F8C6C41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rPr>
          <w:color w:val="000000"/>
        </w:rPr>
        <w:t>Abszolútérték-függvény.</w:t>
      </w:r>
    </w:p>
    <w:p w14:paraId="3921D434" w14:textId="77777777" w:rsidR="000462DF" w:rsidRDefault="00000000">
      <w:pPr>
        <w:numPr>
          <w:ilvl w:val="0"/>
          <w:numId w:val="2"/>
        </w:numPr>
        <w:spacing w:line="240" w:lineRule="auto"/>
      </w:pPr>
      <w:r>
        <w:rPr>
          <w:color w:val="000000"/>
        </w:rPr>
        <w:t>Tanult függvények jellemzése.</w:t>
      </w:r>
    </w:p>
    <w:p w14:paraId="61D69984" w14:textId="77777777" w:rsidR="000462DF" w:rsidRDefault="000462DF">
      <w:pPr>
        <w:spacing w:line="240" w:lineRule="auto"/>
        <w:ind w:left="720"/>
      </w:pPr>
    </w:p>
    <w:p w14:paraId="00CC59DD" w14:textId="77777777" w:rsidR="000462DF" w:rsidRDefault="00000000">
      <w:pPr>
        <w:pStyle w:val="Cmsor1"/>
      </w:pPr>
      <w:bookmarkStart w:id="0" w:name="_heading=h.lxg0apggilwv"/>
      <w:bookmarkEnd w:id="0"/>
      <w:r>
        <w:t xml:space="preserve">Egybevágóság, </w:t>
      </w:r>
      <w:proofErr w:type="gramStart"/>
      <w:r>
        <w:t>négyszögek</w:t>
      </w:r>
      <w:r>
        <w:rPr>
          <w:color w:val="000000"/>
          <w:sz w:val="22"/>
          <w:szCs w:val="22"/>
        </w:rPr>
        <w:t>(</w:t>
      </w:r>
      <w:proofErr w:type="gramEnd"/>
      <w:r>
        <w:rPr>
          <w:i/>
          <w:color w:val="000000"/>
          <w:sz w:val="22"/>
          <w:szCs w:val="22"/>
        </w:rPr>
        <w:t xml:space="preserve">Ajánlott feladatok: TK. </w:t>
      </w:r>
      <w:proofErr w:type="spellStart"/>
      <w:r>
        <w:rPr>
          <w:i/>
          <w:color w:val="000000"/>
          <w:sz w:val="22"/>
          <w:szCs w:val="22"/>
        </w:rPr>
        <w:t>II.kötet</w:t>
      </w:r>
      <w:proofErr w:type="spellEnd"/>
      <w:r>
        <w:rPr>
          <w:i/>
          <w:color w:val="000000"/>
          <w:sz w:val="22"/>
          <w:szCs w:val="22"/>
        </w:rPr>
        <w:t xml:space="preserve"> 162.-165.o.</w:t>
      </w:r>
      <w:r>
        <w:rPr>
          <w:color w:val="000000"/>
          <w:sz w:val="22"/>
          <w:szCs w:val="22"/>
        </w:rPr>
        <w:t>)</w:t>
      </w:r>
    </w:p>
    <w:p w14:paraId="3AA01EE5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t>Szimmetrikus négyszögek</w:t>
      </w:r>
    </w:p>
    <w:p w14:paraId="2BCE0618" w14:textId="77777777" w:rsidR="000462DF" w:rsidRDefault="00000000">
      <w:pPr>
        <w:numPr>
          <w:ilvl w:val="0"/>
          <w:numId w:val="2"/>
        </w:numPr>
        <w:spacing w:after="0" w:line="240" w:lineRule="auto"/>
      </w:pPr>
      <w:r>
        <w:t>Nevezetes négyszögek területe</w:t>
      </w:r>
    </w:p>
    <w:p w14:paraId="19CC8FED" w14:textId="77777777" w:rsidR="000462DF" w:rsidRDefault="000462DF">
      <w:pPr>
        <w:spacing w:after="0" w:line="240" w:lineRule="auto"/>
      </w:pPr>
    </w:p>
    <w:p w14:paraId="57BA3C55" w14:textId="77777777" w:rsidR="000462DF" w:rsidRDefault="000462DF"/>
    <w:p w14:paraId="1EA95C6D" w14:textId="77777777" w:rsidR="000462DF" w:rsidRDefault="000462DF"/>
    <w:p w14:paraId="624B8961" w14:textId="77777777" w:rsidR="000462DF" w:rsidRDefault="000462DF"/>
    <w:p w14:paraId="06E22888" w14:textId="77777777" w:rsidR="000462DF" w:rsidRDefault="00000000">
      <w:pPr>
        <w:shd w:val="clear" w:color="auto" w:fill="FFFFFF"/>
        <w:spacing w:after="0" w:line="240" w:lineRule="auto"/>
      </w:pPr>
      <w:r>
        <w:rPr>
          <w:u w:val="single"/>
        </w:rPr>
        <w:t>Felkészülés:</w:t>
      </w:r>
      <w:r>
        <w:br/>
        <w:t>OH-MAT09TA/I Matematika 9. tankönyv I. kötet és</w:t>
      </w:r>
    </w:p>
    <w:p w14:paraId="2D39982A" w14:textId="77777777" w:rsidR="000462DF" w:rsidRDefault="00000000">
      <w:pPr>
        <w:shd w:val="clear" w:color="auto" w:fill="FFFFFF"/>
        <w:spacing w:after="0" w:line="240" w:lineRule="auto"/>
      </w:pPr>
      <w:r>
        <w:t xml:space="preserve">OH-MAT09TA/II Matematika 9. tankönyv II. kötet </w:t>
      </w:r>
      <w:r>
        <w:br/>
        <w:t xml:space="preserve">(A </w:t>
      </w:r>
      <w:hyperlink r:id="rId6">
        <w:r>
          <w:rPr>
            <w:color w:val="0563C1"/>
            <w:u w:val="single"/>
          </w:rPr>
          <w:t>http://tankonyvkatalogus.hu</w:t>
        </w:r>
      </w:hyperlink>
      <w:r>
        <w:t xml:space="preserve"> oldalról letölthető.)</w:t>
      </w:r>
    </w:p>
    <w:p w14:paraId="158F43ED" w14:textId="77777777" w:rsidR="000462DF" w:rsidRDefault="000462DF"/>
    <w:p w14:paraId="40495349" w14:textId="77777777" w:rsidR="007D4FFA" w:rsidRDefault="007D4FFA" w:rsidP="007D4FFA">
      <w:r w:rsidRPr="00974F6D">
        <w:t>Javítóvizsga konzultációs időpont</w:t>
      </w:r>
      <w:r>
        <w:t>ok – Tóth Lajos</w:t>
      </w:r>
      <w:r w:rsidRPr="00974F6D">
        <w:t>:</w:t>
      </w:r>
      <w:r w:rsidRPr="00974F6D">
        <w:br/>
      </w:r>
      <w:r w:rsidRPr="00974F6D">
        <w:br/>
        <w:t>2025. július 1. kedd, 9 óra</w:t>
      </w:r>
      <w:r w:rsidRPr="00974F6D">
        <w:br/>
        <w:t>2025. augusztus 25. hétfő, 9 óra.</w:t>
      </w:r>
    </w:p>
    <w:p w14:paraId="39C0486F" w14:textId="77777777" w:rsidR="007D4FFA" w:rsidRDefault="007D4FFA"/>
    <w:sectPr w:rsidR="007D4FFA">
      <w:pgSz w:w="11906" w:h="16838"/>
      <w:pgMar w:top="1417" w:right="1417" w:bottom="1417" w:left="1417" w:header="0" w:footer="0" w:gutter="0"/>
      <w:pgNumType w:start="1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1"/>
    <w:family w:val="swiss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E6ABF"/>
    <w:multiLevelType w:val="multilevel"/>
    <w:tmpl w:val="B96AA0B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319155A5"/>
    <w:multiLevelType w:val="multilevel"/>
    <w:tmpl w:val="A424A2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0906DE4"/>
    <w:multiLevelType w:val="multilevel"/>
    <w:tmpl w:val="0CDE06E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58A31E51"/>
    <w:multiLevelType w:val="multilevel"/>
    <w:tmpl w:val="60B0B8E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91769703">
    <w:abstractNumId w:val="3"/>
  </w:num>
  <w:num w:numId="2" w16cid:durableId="344673696">
    <w:abstractNumId w:val="2"/>
  </w:num>
  <w:num w:numId="3" w16cid:durableId="1413547297">
    <w:abstractNumId w:val="0"/>
  </w:num>
  <w:num w:numId="4" w16cid:durableId="569970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2DF"/>
    <w:rsid w:val="000462DF"/>
    <w:rsid w:val="007D4FFA"/>
    <w:rsid w:val="007E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B320"/>
  <w15:docId w15:val="{94637E55-28DC-42D2-AEF3-964277CA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AE2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58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24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AE2A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A95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D724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iperhivatkozs">
    <w:name w:val="Hyperlink"/>
    <w:basedOn w:val="Bekezdsalapbettpusa"/>
    <w:uiPriority w:val="99"/>
    <w:unhideWhenUsed/>
    <w:rsid w:val="00686FCE"/>
    <w:rPr>
      <w:color w:val="0563C1" w:themeColor="hyperlink"/>
      <w:u w:val="singl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Cm">
    <w:name w:val="Title"/>
    <w:basedOn w:val="Norml"/>
    <w:next w:val="Norm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aszerbekezds">
    <w:name w:val="List Paragraph"/>
    <w:basedOn w:val="Norml"/>
    <w:uiPriority w:val="34"/>
    <w:qFormat/>
    <w:rsid w:val="00AE2A49"/>
    <w:pPr>
      <w:ind w:left="720"/>
      <w:contextualSpacing/>
    </w:pPr>
  </w:style>
  <w:style w:type="paragraph" w:styleId="Alcm">
    <w:name w:val="Subtitle"/>
    <w:basedOn w:val="Norml"/>
    <w:next w:val="Norm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ankonyvkatalogus.h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d799L26OJcEH9mSzvda7hnug1uw==">CgMxLjAyCGguZ2pkZ3hzMg5oLmx4ZzBhcGdnaWx3djgAciExUmZDWjJpbEdGd1JuYTUyZ1Y5OFhVV3J6bUtxSU5iNV8=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2174</Characters>
  <Application>Microsoft Office Word</Application>
  <DocSecurity>0</DocSecurity>
  <Lines>18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Fay_pedagogus</dc:creator>
  <dc:description/>
  <cp:lastModifiedBy>Somogyi Miklós</cp:lastModifiedBy>
  <cp:revision>7</cp:revision>
  <dcterms:created xsi:type="dcterms:W3CDTF">2024-06-19T05:05:00Z</dcterms:created>
  <dcterms:modified xsi:type="dcterms:W3CDTF">2025-06-12T08:28:00Z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